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_GBK" w:eastAsia="方正小标宋_GBK"/>
          <w:color w:val="FF0000"/>
          <w:sz w:val="60"/>
          <w:szCs w:val="60"/>
        </w:rPr>
      </w:pPr>
      <w:r>
        <w:rPr>
          <w:rFonts w:hint="eastAsia" w:ascii="方正小标宋_GBK" w:eastAsia="方正小标宋_GBK"/>
          <w:color w:val="FF0000"/>
          <w:spacing w:val="20"/>
          <w:sz w:val="60"/>
          <w:szCs w:val="60"/>
        </w:rPr>
        <w:t>宁夏回族自治区监狱管理局</w:t>
      </w:r>
    </w:p>
    <w:p>
      <w:pPr>
        <w:spacing w:line="560" w:lineRule="exact"/>
        <w:jc w:val="center"/>
        <w:rPr>
          <w:rFonts w:hint="eastAsia" w:ascii="方正小标宋_GBK" w:eastAsia="方正小标宋_GBK"/>
          <w:color w:val="FF0000"/>
          <w:sz w:val="60"/>
          <w:szCs w:val="60"/>
        </w:rPr>
      </w:pPr>
      <w:r>
        <w:rPr>
          <w:rFonts w:hint="eastAsia" w:ascii="方正小标宋_GBK" w:eastAsia="方正小标宋_GBK"/>
          <w:color w:val="FF0000"/>
          <w:sz w:val="60"/>
          <w:szCs w:val="60"/>
        </w:rPr>
        <w:pict>
          <v:line id="_x0000_s2051" o:spid="_x0000_s2051" o:spt="20" style="position:absolute;left:0pt;margin-left:3.75pt;margin-top:10.55pt;height:0pt;width:432pt;z-index:251658240;mso-width-relative:page;mso-height-relative:page;" filled="f" stroked="t" coordsize="21600,21600">
            <v:path arrowok="t"/>
            <v:fill on="f" focussize="0,0"/>
            <v:stroke weight="2.25pt" color="#FF0000"/>
            <v:imagedata o:title=""/>
            <o:lock v:ext="edit" rotation="f" text="f" aspectratio="f"/>
          </v:line>
        </w:pic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关于报送《自治区监狱管理局</w:t>
      </w:r>
      <w:r>
        <w:rPr>
          <w:rFonts w:hint="eastAsia" w:ascii="方正小标宋_GBK" w:hAnsi="方正小标宋_GBK" w:eastAsia="方正小标宋_GBK" w:cs="方正小标宋_GBK"/>
          <w:sz w:val="44"/>
          <w:szCs w:val="44"/>
          <w:lang w:val="en-US" w:eastAsia="zh-CN"/>
        </w:rPr>
        <w:t>2021年政府信息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公开工作年度报告</w:t>
      </w:r>
      <w:r>
        <w:rPr>
          <w:rFonts w:hint="eastAsia" w:ascii="方正小标宋_GBK" w:hAnsi="方正小标宋_GBK" w:eastAsia="方正小标宋_GBK" w:cs="方正小标宋_GBK"/>
          <w:sz w:val="44"/>
          <w:szCs w:val="44"/>
          <w:lang w:eastAsia="zh-CN"/>
        </w:rPr>
        <w:t>》的报告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自治区人民政府政务公开办公室：</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根据《自治区人民政府政务公开办公室关于做好2021年政府信息公开工作年度报告的通知》要求，现将《自治区监狱管理局2021年政府信息公开年度报告》呈上，请审阅。</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附件：自治区监狱管理局2021年政府信息公开年度报告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宁夏回族自治区监狱管理局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2022年1月17日</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(联系人：张晓妮  0951-6197198)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自治区监狱管理局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ascii="黑体" w:hAnsi="黑体" w:eastAsia="黑体" w:cs="黑体"/>
          <w:sz w:val="32"/>
          <w:szCs w:val="32"/>
        </w:rPr>
      </w:pPr>
      <w:r>
        <w:rPr>
          <w:rFonts w:hint="eastAsia" w:eastAsia="仿宋_GB2312"/>
          <w:sz w:val="32"/>
          <w:szCs w:val="32"/>
        </w:rPr>
        <w:t>根据《中华人民共和国政府信息公开条例》规定和《国务院办公厅政府信息与政务公开办公室关于印发</w:t>
      </w:r>
      <w:r>
        <w:rPr>
          <w:rFonts w:hint="eastAsia" w:ascii="仿宋_GB2312" w:eastAsia="仿宋_GB2312"/>
          <w:sz w:val="32"/>
          <w:szCs w:val="32"/>
        </w:rPr>
        <w:t>〈中华人民共和国政府信息公开工作年度报告格式〉的通知</w:t>
      </w:r>
      <w:r>
        <w:rPr>
          <w:rFonts w:hint="eastAsia" w:eastAsia="仿宋_GB2312"/>
          <w:sz w:val="32"/>
          <w:szCs w:val="32"/>
        </w:rPr>
        <w:t>》（国办公开办函</w:t>
      </w:r>
      <w:r>
        <w:rPr>
          <w:rFonts w:hint="eastAsia" w:ascii="仿宋_GB2312" w:eastAsia="仿宋_GB2312"/>
          <w:sz w:val="32"/>
          <w:szCs w:val="32"/>
        </w:rPr>
        <w:t>〔2021〕30号</w:t>
      </w:r>
      <w:r>
        <w:rPr>
          <w:rFonts w:hint="eastAsia" w:eastAsia="仿宋_GB2312"/>
          <w:sz w:val="32"/>
          <w:szCs w:val="32"/>
        </w:rPr>
        <w:t>）要求，现发布《自治区监狱管理局2021年政府信息公开工作年度报告》，本报告统计数据从20</w:t>
      </w:r>
      <w:r>
        <w:rPr>
          <w:rFonts w:eastAsia="仿宋_GB2312"/>
          <w:sz w:val="32"/>
          <w:szCs w:val="32"/>
        </w:rPr>
        <w:t>2</w:t>
      </w:r>
      <w:r>
        <w:rPr>
          <w:rFonts w:hint="eastAsia" w:eastAsia="仿宋_GB2312"/>
          <w:sz w:val="32"/>
          <w:szCs w:val="32"/>
        </w:rPr>
        <w:t>1年1月1日至20</w:t>
      </w:r>
      <w:r>
        <w:rPr>
          <w:rFonts w:eastAsia="仿宋_GB2312"/>
          <w:sz w:val="32"/>
          <w:szCs w:val="32"/>
        </w:rPr>
        <w:t>2</w:t>
      </w:r>
      <w:r>
        <w:rPr>
          <w:rFonts w:hint="eastAsia" w:eastAsia="仿宋_GB2312"/>
          <w:sz w:val="32"/>
          <w:szCs w:val="32"/>
        </w:rPr>
        <w:t>1年12月31日。本报告电子版可从自治区监狱管理局门户网站（http://nxjy.nx</w:t>
      </w:r>
      <w:r>
        <w:rPr>
          <w:rFonts w:eastAsia="仿宋_GB2312"/>
          <w:sz w:val="32"/>
          <w:szCs w:val="32"/>
        </w:rPr>
        <w:t>.</w:t>
      </w:r>
      <w:r>
        <w:rPr>
          <w:rFonts w:hint="eastAsia" w:eastAsia="仿宋_GB2312"/>
          <w:sz w:val="32"/>
          <w:szCs w:val="32"/>
        </w:rPr>
        <w:t>gov.cn）查阅或下载。如有疑问或意见建议，请直接与自治区监狱管理局办公室联系。</w:t>
      </w:r>
      <w:r>
        <w:rPr>
          <w:rFonts w:hint="eastAsia" w:ascii="楷体_GB2312" w:hAnsi="楷体_GB2312" w:eastAsia="楷体_GB2312" w:cs="楷体_GB2312"/>
          <w:sz w:val="32"/>
          <w:szCs w:val="32"/>
          <w:lang w:eastAsia="zh-CN"/>
        </w:rPr>
        <w:t>（地址：宁夏银川市兴庆区民族北街298号，邮编：750001，E-Mail：nxjygl@163.com，联系电话：0951—6197198，传真：0951—6197066）。</w:t>
      </w:r>
    </w:p>
    <w:p>
      <w:pPr>
        <w:keepNext w:val="0"/>
        <w:keepLines w:val="0"/>
        <w:pageBreakBefore w:val="0"/>
        <w:widowControl w:val="0"/>
        <w:kinsoku/>
        <w:wordWrap/>
        <w:overflowPunct/>
        <w:topLinePunct w:val="0"/>
        <w:autoSpaceDE/>
        <w:autoSpaceDN/>
        <w:bidi w:val="0"/>
        <w:adjustRightInd/>
        <w:snapToGrid/>
        <w:spacing w:beforeLines="50" w:afterLines="50" w:line="640" w:lineRule="exact"/>
        <w:ind w:firstLine="640"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eastAsia="仿宋_GB2312"/>
          <w:sz w:val="32"/>
          <w:szCs w:val="32"/>
        </w:rPr>
      </w:pPr>
      <w:r>
        <w:rPr>
          <w:rFonts w:hint="eastAsia" w:eastAsia="仿宋_GB2312"/>
          <w:sz w:val="32"/>
          <w:szCs w:val="32"/>
        </w:rPr>
        <w:t>20</w:t>
      </w:r>
      <w:r>
        <w:rPr>
          <w:rFonts w:eastAsia="仿宋_GB2312"/>
          <w:sz w:val="32"/>
          <w:szCs w:val="32"/>
        </w:rPr>
        <w:t>2</w:t>
      </w:r>
      <w:r>
        <w:rPr>
          <w:rFonts w:hint="eastAsia" w:eastAsia="仿宋_GB2312"/>
          <w:sz w:val="32"/>
          <w:szCs w:val="32"/>
        </w:rPr>
        <w:t>1年，自治区监狱管理局坚持以习近平新时代中国特色社会主义思想为指导，全面贯彻党的十九大和十九届二中、三中、四中、五中、六中全会精神，坚持以人民为中心的思想，认真落实党中央、国务院</w:t>
      </w:r>
      <w:r>
        <w:rPr>
          <w:rFonts w:hint="eastAsia" w:eastAsia="仿宋_GB2312"/>
          <w:sz w:val="32"/>
          <w:szCs w:val="32"/>
          <w:lang w:eastAsia="zh-CN"/>
        </w:rPr>
        <w:t>和</w:t>
      </w:r>
      <w:r>
        <w:rPr>
          <w:rFonts w:hint="eastAsia" w:eastAsia="仿宋_GB2312"/>
          <w:sz w:val="32"/>
          <w:szCs w:val="32"/>
          <w:lang w:val="en-US" w:eastAsia="zh-CN"/>
        </w:rPr>
        <w:t>自治区党委政府</w:t>
      </w:r>
      <w:r>
        <w:rPr>
          <w:rFonts w:hint="eastAsia" w:eastAsia="仿宋_GB2312"/>
          <w:sz w:val="32"/>
          <w:szCs w:val="32"/>
        </w:rPr>
        <w:t>关于政务公开工作的决策部署，着力抓好《政府信息公开条例》贯彻落实和配套制度建设，紧密围绕监狱工作主责主业，不断深化狱务公开，扎实开展“执法规范化建设提升年”“六规范三公开两提升”等活动，全面做好政府信息公开工作，加强政策发布的力度和时效，持续提升公开质量，</w:t>
      </w:r>
      <w:r>
        <w:rPr>
          <w:rFonts w:hint="eastAsia" w:ascii="仿宋_GB2312" w:hAnsi="仿宋_GB2312" w:eastAsia="仿宋_GB2312" w:cs="仿宋_GB2312"/>
          <w:sz w:val="32"/>
          <w:szCs w:val="32"/>
          <w:lang w:val="en-US" w:eastAsia="zh-CN"/>
        </w:rPr>
        <w:t>促进政府信息公开工作有力有序开展</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outlineLvl w:val="9"/>
        <w:rPr>
          <w:rFonts w:eastAsia="仿宋_GB2312"/>
          <w:sz w:val="32"/>
          <w:szCs w:val="32"/>
        </w:rPr>
      </w:pPr>
      <w:r>
        <w:rPr>
          <w:rFonts w:hint="eastAsia" w:eastAsia="仿宋_GB2312"/>
          <w:b/>
          <w:bCs/>
          <w:sz w:val="32"/>
          <w:szCs w:val="32"/>
        </w:rPr>
        <w:t>（一）主动公开情况。</w:t>
      </w:r>
      <w:r>
        <w:rPr>
          <w:rFonts w:hint="eastAsia" w:eastAsia="仿宋_GB2312"/>
          <w:sz w:val="32"/>
          <w:szCs w:val="32"/>
        </w:rPr>
        <w:t>通过宁夏回族自治区监狱管理局</w:t>
      </w:r>
      <w:r>
        <w:rPr>
          <w:rFonts w:hint="eastAsia" w:eastAsia="仿宋_GB2312"/>
          <w:sz w:val="32"/>
          <w:szCs w:val="32"/>
          <w:lang w:eastAsia="zh-CN"/>
        </w:rPr>
        <w:t>门户</w:t>
      </w:r>
      <w:r>
        <w:rPr>
          <w:rFonts w:hint="eastAsia" w:eastAsia="仿宋_GB2312"/>
          <w:sz w:val="32"/>
          <w:szCs w:val="32"/>
        </w:rPr>
        <w:t>网站、政务新媒体（微信、微博、今日头条）以及区属主流媒体（宁夏日报、宁夏法治报、宁夏新闻网）等主动公开全区监狱工作动态、政策措施、政策解读、机构职能、招考录用、财政资金、通知公告等政府信息。2021年，自治区</w:t>
      </w:r>
      <w:r>
        <w:rPr>
          <w:rFonts w:hint="eastAsia" w:eastAsia="仿宋_GB2312"/>
          <w:sz w:val="32"/>
          <w:szCs w:val="32"/>
          <w:lang w:eastAsia="zh-CN"/>
        </w:rPr>
        <w:t>监狱管理局</w:t>
      </w:r>
      <w:r>
        <w:rPr>
          <w:rFonts w:hint="eastAsia" w:eastAsia="仿宋_GB2312"/>
          <w:sz w:val="32"/>
          <w:szCs w:val="32"/>
        </w:rPr>
        <w:t>门户网站主动公开各类政府信息</w:t>
      </w:r>
      <w:r>
        <w:rPr>
          <w:rFonts w:hint="eastAsia" w:eastAsia="仿宋_GB2312"/>
          <w:sz w:val="32"/>
          <w:szCs w:val="32"/>
          <w:lang w:val="en-US" w:eastAsia="zh-CN"/>
        </w:rPr>
        <w:t>662</w:t>
      </w:r>
      <w:r>
        <w:rPr>
          <w:rFonts w:hint="eastAsia" w:eastAsia="仿宋_GB2312"/>
          <w:sz w:val="32"/>
          <w:szCs w:val="32"/>
        </w:rPr>
        <w:t>条，其中，概况类信息</w:t>
      </w:r>
      <w:r>
        <w:rPr>
          <w:rFonts w:hint="eastAsia" w:eastAsia="仿宋_GB2312"/>
          <w:sz w:val="32"/>
          <w:szCs w:val="32"/>
          <w:lang w:val="en-US" w:eastAsia="zh-CN"/>
        </w:rPr>
        <w:t>107</w:t>
      </w:r>
      <w:r>
        <w:rPr>
          <w:rFonts w:hint="eastAsia" w:eastAsia="仿宋_GB2312"/>
          <w:sz w:val="32"/>
          <w:szCs w:val="32"/>
        </w:rPr>
        <w:t>条,政务动态信息</w:t>
      </w:r>
      <w:r>
        <w:rPr>
          <w:rFonts w:hint="eastAsia" w:eastAsia="仿宋_GB2312"/>
          <w:sz w:val="32"/>
          <w:szCs w:val="32"/>
          <w:lang w:val="en-US" w:eastAsia="zh-CN"/>
        </w:rPr>
        <w:t>525</w:t>
      </w:r>
      <w:r>
        <w:rPr>
          <w:rFonts w:hint="eastAsia" w:eastAsia="仿宋_GB2312"/>
          <w:sz w:val="32"/>
          <w:szCs w:val="32"/>
        </w:rPr>
        <w:t>条,信息公开目录信息</w:t>
      </w:r>
      <w:r>
        <w:rPr>
          <w:rFonts w:hint="eastAsia" w:eastAsia="仿宋_GB2312"/>
          <w:sz w:val="32"/>
          <w:szCs w:val="32"/>
          <w:lang w:val="en-US" w:eastAsia="zh-CN"/>
        </w:rPr>
        <w:t>30</w:t>
      </w:r>
      <w:r>
        <w:rPr>
          <w:rFonts w:hint="eastAsia" w:eastAsia="仿宋_GB2312"/>
          <w:sz w:val="32"/>
          <w:szCs w:val="32"/>
        </w:rPr>
        <w:t>条。2021年，自治区</w:t>
      </w:r>
      <w:r>
        <w:rPr>
          <w:rFonts w:hint="eastAsia" w:eastAsia="仿宋_GB2312"/>
          <w:sz w:val="32"/>
          <w:szCs w:val="32"/>
          <w:lang w:eastAsia="zh-CN"/>
        </w:rPr>
        <w:t>监狱管理局</w:t>
      </w:r>
      <w:r>
        <w:rPr>
          <w:rFonts w:hint="eastAsia" w:eastAsia="仿宋_GB2312"/>
          <w:sz w:val="32"/>
          <w:szCs w:val="32"/>
        </w:rPr>
        <w:t>门户网站访问人数</w:t>
      </w:r>
      <w:r>
        <w:rPr>
          <w:rFonts w:hint="eastAsia" w:eastAsia="仿宋_GB2312"/>
          <w:sz w:val="32"/>
          <w:szCs w:val="32"/>
          <w:lang w:val="en-US" w:eastAsia="zh-CN"/>
        </w:rPr>
        <w:t>13804</w:t>
      </w:r>
      <w:r>
        <w:rPr>
          <w:rFonts w:hint="eastAsia" w:eastAsia="仿宋_GB2312"/>
          <w:sz w:val="32"/>
          <w:szCs w:val="32"/>
        </w:rPr>
        <w:t>人，访问次数</w:t>
      </w:r>
      <w:r>
        <w:rPr>
          <w:rFonts w:hint="eastAsia" w:eastAsia="仿宋_GB2312"/>
          <w:sz w:val="32"/>
          <w:szCs w:val="32"/>
          <w:lang w:val="en-US" w:eastAsia="zh-CN"/>
        </w:rPr>
        <w:t>70303</w:t>
      </w:r>
      <w:r>
        <w:rPr>
          <w:rFonts w:hint="eastAsia" w:eastAsia="仿宋_GB2312"/>
          <w:sz w:val="32"/>
          <w:szCs w:val="32"/>
        </w:rPr>
        <w:t>次。</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outlineLvl w:val="9"/>
        <w:rPr>
          <w:rFonts w:eastAsia="仿宋_GB2312"/>
          <w:sz w:val="32"/>
          <w:szCs w:val="32"/>
        </w:rPr>
      </w:pPr>
      <w:r>
        <w:rPr>
          <w:rFonts w:hint="eastAsia" w:eastAsia="仿宋_GB2312"/>
          <w:b/>
          <w:bCs/>
          <w:sz w:val="32"/>
          <w:szCs w:val="32"/>
        </w:rPr>
        <w:t>（二）依申请公开情况。</w:t>
      </w:r>
      <w:r>
        <w:rPr>
          <w:rFonts w:hint="eastAsia" w:eastAsia="仿宋_GB2312"/>
          <w:sz w:val="32"/>
          <w:szCs w:val="32"/>
        </w:rPr>
        <w:t>全年收到1名群众“依申请公开”诉求，收到公民投诉监督、咨询建议共</w:t>
      </w:r>
      <w:r>
        <w:rPr>
          <w:rFonts w:hint="eastAsia" w:eastAsia="仿宋_GB2312"/>
          <w:sz w:val="32"/>
          <w:szCs w:val="32"/>
          <w:lang w:val="en-US" w:eastAsia="zh-CN"/>
        </w:rPr>
        <w:t>4</w:t>
      </w:r>
      <w:r>
        <w:rPr>
          <w:rFonts w:hint="eastAsia" w:eastAsia="仿宋_GB2312"/>
          <w:sz w:val="32"/>
          <w:szCs w:val="32"/>
        </w:rPr>
        <w:t>件，均严格按照《政府信息公开条例》等有关规定及时进行办理和答复。</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outlineLvl w:val="9"/>
        <w:rPr>
          <w:rFonts w:eastAsia="仿宋_GB2312"/>
          <w:sz w:val="32"/>
          <w:szCs w:val="32"/>
        </w:rPr>
      </w:pPr>
      <w:r>
        <w:rPr>
          <w:rFonts w:hint="eastAsia" w:eastAsia="仿宋_GB2312"/>
          <w:b/>
          <w:bCs/>
          <w:sz w:val="32"/>
          <w:szCs w:val="32"/>
        </w:rPr>
        <w:t>（三）政府信息管理。</w:t>
      </w:r>
      <w:r>
        <w:rPr>
          <w:rFonts w:hint="eastAsia" w:eastAsia="仿宋_GB2312"/>
          <w:sz w:val="32"/>
          <w:szCs w:val="32"/>
        </w:rPr>
        <w:t>细化分支栏目，坚持日更新宁夏监狱管理局门户网站信息。紧盯“全区政府网站政务新媒体工作交流群”中的通知，及时就媒体聚焦栏目中的信息进行更新发布。</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outlineLvl w:val="9"/>
        <w:rPr>
          <w:rFonts w:eastAsia="仿宋_GB2312"/>
          <w:sz w:val="32"/>
          <w:szCs w:val="32"/>
        </w:rPr>
      </w:pPr>
      <w:r>
        <w:rPr>
          <w:rFonts w:hint="eastAsia" w:eastAsia="仿宋_GB2312"/>
          <w:b/>
          <w:bCs/>
          <w:sz w:val="32"/>
          <w:szCs w:val="32"/>
        </w:rPr>
        <w:t>（四）平台建设。</w:t>
      </w:r>
      <w:r>
        <w:rPr>
          <w:rFonts w:hint="eastAsia" w:eastAsia="仿宋_GB2312"/>
          <w:sz w:val="32"/>
          <w:szCs w:val="32"/>
        </w:rPr>
        <w:t>一是优化门户网站服务功能。瞄准2021年政法队伍重点工作，增设“队伍教育整顿线索举报”，增强社会影响力。二是加强与主流媒体联动，工作合力不断增强。全年联合法制日报、宁夏日报、宁夏法治报、宁夏新闻网</w:t>
      </w:r>
      <w:r>
        <w:rPr>
          <w:rFonts w:hint="eastAsia" w:eastAsia="仿宋_GB2312"/>
          <w:sz w:val="32"/>
          <w:szCs w:val="32"/>
          <w:lang w:eastAsia="zh-CN"/>
        </w:rPr>
        <w:t>、平安宁夏</w:t>
      </w:r>
      <w:r>
        <w:rPr>
          <w:rFonts w:hint="eastAsia" w:eastAsia="仿宋_GB2312"/>
          <w:sz w:val="32"/>
          <w:szCs w:val="32"/>
        </w:rPr>
        <w:t>等主流媒体宣传报道监狱工作280余篇次，各网站、自媒体转发转载宁夏监狱工作</w:t>
      </w:r>
      <w:r>
        <w:rPr>
          <w:rFonts w:hint="eastAsia" w:eastAsia="仿宋_GB2312"/>
          <w:sz w:val="32"/>
          <w:szCs w:val="32"/>
          <w:lang w:eastAsia="zh-CN"/>
        </w:rPr>
        <w:t>百</w:t>
      </w:r>
      <w:r>
        <w:rPr>
          <w:rFonts w:hint="eastAsia" w:eastAsia="仿宋_GB2312"/>
          <w:sz w:val="32"/>
          <w:szCs w:val="32"/>
        </w:rPr>
        <w:t>余篇次，</w:t>
      </w:r>
      <w:r>
        <w:rPr>
          <w:rFonts w:hint="eastAsia" w:eastAsia="仿宋_GB2312"/>
          <w:sz w:val="32"/>
          <w:szCs w:val="32"/>
          <w:lang w:eastAsia="zh-CN"/>
        </w:rPr>
        <w:t>全区监狱工作</w:t>
      </w:r>
      <w:r>
        <w:rPr>
          <w:rFonts w:hint="eastAsia" w:eastAsia="仿宋_GB2312"/>
          <w:sz w:val="32"/>
          <w:szCs w:val="32"/>
        </w:rPr>
        <w:t>影响力</w:t>
      </w:r>
      <w:r>
        <w:rPr>
          <w:rFonts w:hint="eastAsia" w:eastAsia="仿宋_GB2312"/>
          <w:sz w:val="32"/>
          <w:szCs w:val="32"/>
          <w:lang w:eastAsia="zh-CN"/>
        </w:rPr>
        <w:t>相较往年</w:t>
      </w:r>
      <w:r>
        <w:rPr>
          <w:rFonts w:hint="eastAsia" w:eastAsia="仿宋_GB2312"/>
          <w:sz w:val="32"/>
          <w:szCs w:val="32"/>
        </w:rPr>
        <w:t>进一步扩大。</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outlineLvl w:val="9"/>
        <w:rPr>
          <w:rFonts w:hint="eastAsia" w:eastAsia="仿宋_GB2312"/>
          <w:sz w:val="32"/>
          <w:szCs w:val="32"/>
        </w:rPr>
      </w:pPr>
      <w:r>
        <w:rPr>
          <w:rFonts w:hint="eastAsia" w:eastAsia="仿宋_GB2312"/>
          <w:b/>
          <w:bCs/>
          <w:sz w:val="32"/>
          <w:szCs w:val="32"/>
        </w:rPr>
        <w:t>（五）监督保障。</w:t>
      </w:r>
      <w:r>
        <w:rPr>
          <w:rFonts w:hint="eastAsia" w:eastAsia="仿宋_GB2312"/>
          <w:sz w:val="32"/>
          <w:szCs w:val="32"/>
        </w:rPr>
        <w:t>宁夏回族自治区监狱管理局结合</w:t>
      </w:r>
      <w:r>
        <w:rPr>
          <w:rFonts w:hint="eastAsia" w:eastAsia="仿宋_GB2312"/>
          <w:sz w:val="32"/>
          <w:szCs w:val="32"/>
          <w:lang w:eastAsia="zh-CN"/>
        </w:rPr>
        <w:t>监狱</w:t>
      </w:r>
      <w:r>
        <w:rPr>
          <w:rFonts w:hint="eastAsia" w:eastAsia="仿宋_GB2312"/>
          <w:sz w:val="32"/>
          <w:szCs w:val="32"/>
        </w:rPr>
        <w:t>工作实际，制定</w:t>
      </w:r>
      <w:r>
        <w:rPr>
          <w:rFonts w:hint="eastAsia" w:eastAsia="仿宋_GB2312"/>
          <w:sz w:val="32"/>
          <w:szCs w:val="32"/>
          <w:lang w:eastAsia="zh-CN"/>
        </w:rPr>
        <w:t>完善</w:t>
      </w:r>
      <w:r>
        <w:rPr>
          <w:rFonts w:hint="eastAsia" w:eastAsia="仿宋_GB2312"/>
          <w:sz w:val="32"/>
          <w:szCs w:val="32"/>
        </w:rPr>
        <w:t>《关于健全监狱执法监督制约机制的意见》《宁夏监狱系统执法监督员聘任管理办法》</w:t>
      </w:r>
      <w:r>
        <w:rPr>
          <w:rFonts w:hint="eastAsia" w:eastAsia="仿宋_GB2312"/>
          <w:sz w:val="32"/>
          <w:szCs w:val="32"/>
          <w:lang w:eastAsia="zh-CN"/>
        </w:rPr>
        <w:t>《全区监狱系统执法监督工作办法》</w:t>
      </w:r>
      <w:r>
        <w:rPr>
          <w:rFonts w:hint="eastAsia" w:eastAsia="仿宋_GB2312"/>
          <w:sz w:val="32"/>
          <w:szCs w:val="32"/>
        </w:rPr>
        <w:t>等制度，</w:t>
      </w:r>
      <w:r>
        <w:rPr>
          <w:rFonts w:hint="eastAsia" w:eastAsia="仿宋_GB2312"/>
          <w:sz w:val="32"/>
          <w:szCs w:val="32"/>
          <w:lang w:eastAsia="zh-CN"/>
        </w:rPr>
        <w:t>全面加强执法监督。先后</w:t>
      </w:r>
      <w:r>
        <w:rPr>
          <w:rFonts w:hint="eastAsia" w:eastAsia="仿宋_GB2312"/>
          <w:sz w:val="32"/>
          <w:szCs w:val="32"/>
        </w:rPr>
        <w:t>举办</w:t>
      </w:r>
      <w:r>
        <w:rPr>
          <w:rFonts w:hint="eastAsia" w:eastAsia="仿宋_GB2312"/>
          <w:sz w:val="32"/>
          <w:szCs w:val="32"/>
          <w:lang w:eastAsia="zh-CN"/>
        </w:rPr>
        <w:t>“</w:t>
      </w:r>
      <w:r>
        <w:rPr>
          <w:rFonts w:hint="eastAsia" w:eastAsia="仿宋_GB2312"/>
          <w:sz w:val="32"/>
          <w:szCs w:val="32"/>
        </w:rPr>
        <w:t>全区监狱开放日</w:t>
      </w:r>
      <w:r>
        <w:rPr>
          <w:rFonts w:hint="eastAsia" w:eastAsia="仿宋_GB2312"/>
          <w:sz w:val="32"/>
          <w:szCs w:val="32"/>
          <w:lang w:eastAsia="zh-CN"/>
        </w:rPr>
        <w:t>”</w:t>
      </w:r>
      <w:r>
        <w:rPr>
          <w:rFonts w:hint="eastAsia" w:eastAsia="仿宋_GB2312"/>
          <w:sz w:val="32"/>
          <w:szCs w:val="32"/>
        </w:rPr>
        <w:t>“政府开放日”</w:t>
      </w:r>
      <w:r>
        <w:rPr>
          <w:rFonts w:hint="eastAsia" w:eastAsia="仿宋_GB2312"/>
          <w:sz w:val="32"/>
          <w:szCs w:val="32"/>
          <w:lang w:eastAsia="zh-CN"/>
        </w:rPr>
        <w:t>等</w:t>
      </w:r>
      <w:r>
        <w:rPr>
          <w:rFonts w:hint="eastAsia" w:eastAsia="仿宋_GB2312"/>
          <w:sz w:val="32"/>
          <w:szCs w:val="32"/>
        </w:rPr>
        <w:t>活动，全面展示全区监狱系统</w:t>
      </w:r>
      <w:r>
        <w:rPr>
          <w:rFonts w:hint="eastAsia" w:eastAsia="仿宋_GB2312"/>
          <w:sz w:val="32"/>
          <w:szCs w:val="32"/>
          <w:lang w:eastAsia="zh-CN"/>
        </w:rPr>
        <w:t>党史学习教育、政法</w:t>
      </w:r>
      <w:r>
        <w:rPr>
          <w:rFonts w:hint="eastAsia" w:eastAsia="仿宋_GB2312"/>
          <w:sz w:val="32"/>
          <w:szCs w:val="32"/>
        </w:rPr>
        <w:t>队伍教育整顿</w:t>
      </w:r>
      <w:r>
        <w:rPr>
          <w:rFonts w:hint="eastAsia" w:eastAsia="仿宋_GB2312"/>
          <w:sz w:val="32"/>
          <w:szCs w:val="32"/>
          <w:lang w:eastAsia="zh-CN"/>
        </w:rPr>
        <w:t>和监狱综合治理</w:t>
      </w:r>
      <w:r>
        <w:rPr>
          <w:rFonts w:hint="eastAsia" w:eastAsia="仿宋_GB2312"/>
          <w:sz w:val="32"/>
          <w:szCs w:val="32"/>
        </w:rPr>
        <w:t>工作成效，深化社会各界对监狱工作的理解和支持，增强监狱执法和管理活动的透明度，积极回应人民群众关切，</w:t>
      </w:r>
      <w:r>
        <w:rPr>
          <w:rFonts w:hint="eastAsia" w:eastAsia="仿宋_GB2312"/>
          <w:sz w:val="32"/>
          <w:szCs w:val="32"/>
          <w:lang w:eastAsia="zh-CN"/>
        </w:rPr>
        <w:t>不断</w:t>
      </w:r>
      <w:r>
        <w:rPr>
          <w:rFonts w:hint="eastAsia" w:eastAsia="仿宋_GB2312"/>
          <w:sz w:val="32"/>
          <w:szCs w:val="32"/>
        </w:rPr>
        <w:t>提升监狱工作法治化、科学化、社会化水平</w:t>
      </w:r>
      <w:r>
        <w:rPr>
          <w:rFonts w:hint="eastAsia" w:eastAsia="仿宋_GB2312"/>
          <w:sz w:val="32"/>
          <w:szCs w:val="32"/>
          <w:lang w:eastAsia="zh-CN"/>
        </w:rPr>
        <w:t>和人民群众满意度</w:t>
      </w:r>
      <w:r>
        <w:rPr>
          <w:rFonts w:hint="eastAsia" w:eastAsia="仿宋_GB2312"/>
          <w:sz w:val="32"/>
          <w:szCs w:val="32"/>
        </w:rPr>
        <w:t>。</w:t>
      </w:r>
    </w:p>
    <w:p>
      <w:pPr>
        <w:pStyle w:val="2"/>
        <w:rPr>
          <w:rFonts w:hint="eastAsia" w:eastAsia="仿宋_GB2312"/>
          <w:sz w:val="32"/>
          <w:szCs w:val="32"/>
        </w:rPr>
      </w:pPr>
    </w:p>
    <w:p>
      <w:pPr>
        <w:pStyle w:val="2"/>
        <w:rPr>
          <w:rFonts w:hint="eastAsia" w:eastAsia="仿宋_GB2312"/>
          <w:sz w:val="32"/>
          <w:szCs w:val="32"/>
        </w:rPr>
      </w:pPr>
    </w:p>
    <w:p>
      <w:pPr>
        <w:pStyle w:val="2"/>
        <w:rPr>
          <w:rFonts w:hint="eastAsia" w:eastAsia="仿宋_GB2312"/>
          <w:sz w:val="32"/>
          <w:szCs w:val="32"/>
        </w:rPr>
      </w:pPr>
    </w:p>
    <w:p>
      <w:pPr>
        <w:pStyle w:val="2"/>
        <w:rPr>
          <w:rFonts w:hint="eastAsia" w:eastAsia="仿宋_GB2312"/>
          <w:sz w:val="32"/>
          <w:szCs w:val="32"/>
        </w:rPr>
      </w:pPr>
    </w:p>
    <w:p>
      <w:pPr>
        <w:pStyle w:val="2"/>
        <w:rPr>
          <w:rFonts w:hint="eastAsia" w:eastAsia="仿宋_GB2312"/>
          <w:sz w:val="32"/>
          <w:szCs w:val="32"/>
        </w:rPr>
      </w:pPr>
    </w:p>
    <w:p>
      <w:pPr>
        <w:pStyle w:val="2"/>
        <w:rPr>
          <w:rFonts w:hint="eastAsia" w:eastAsia="仿宋_GB2312"/>
          <w:sz w:val="32"/>
          <w:szCs w:val="32"/>
        </w:rPr>
      </w:pPr>
    </w:p>
    <w:p>
      <w:pPr>
        <w:pStyle w:val="2"/>
        <w:rPr>
          <w:rFonts w:hint="eastAsia" w:eastAsia="仿宋_GB2312"/>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二、主动公开政府信息情况</w:t>
      </w:r>
    </w:p>
    <w:tbl>
      <w:tblPr>
        <w:tblStyle w:val="5"/>
        <w:tblW w:w="807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66"/>
        <w:gridCol w:w="1925"/>
        <w:gridCol w:w="1982"/>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8078"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192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本年制发件数</w:t>
            </w:r>
          </w:p>
        </w:tc>
        <w:tc>
          <w:tcPr>
            <w:tcW w:w="1982"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本年废止件数</w:t>
            </w:r>
          </w:p>
        </w:tc>
        <w:tc>
          <w:tcPr>
            <w:tcW w:w="220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规章</w:t>
            </w:r>
          </w:p>
        </w:tc>
        <w:tc>
          <w:tcPr>
            <w:tcW w:w="192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宋体"/>
                <w:color w:val="auto"/>
                <w:lang w:val="en-US" w:eastAsia="zh-CN"/>
              </w:rPr>
            </w:pPr>
            <w:r>
              <w:rPr>
                <w:rFonts w:hint="eastAsia"/>
                <w:color w:val="auto"/>
                <w:lang w:val="en-US" w:eastAsia="zh-CN"/>
              </w:rPr>
              <w:t>0</w:t>
            </w:r>
          </w:p>
        </w:tc>
        <w:tc>
          <w:tcPr>
            <w:tcW w:w="19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宋体"/>
                <w:color w:val="auto"/>
                <w:lang w:val="en-US" w:eastAsia="zh-CN"/>
              </w:rPr>
            </w:pPr>
            <w:r>
              <w:rPr>
                <w:rFonts w:hint="eastAsia"/>
                <w:color w:val="auto"/>
                <w:lang w:val="en-US" w:eastAsia="zh-CN"/>
              </w:rPr>
              <w:t>0</w:t>
            </w:r>
          </w:p>
        </w:tc>
        <w:tc>
          <w:tcPr>
            <w:tcW w:w="220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宋体"/>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行政规范性文件</w:t>
            </w:r>
          </w:p>
        </w:tc>
        <w:tc>
          <w:tcPr>
            <w:tcW w:w="192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宋体"/>
                <w:color w:val="auto"/>
                <w:lang w:val="en-US" w:eastAsia="zh-CN"/>
              </w:rPr>
            </w:pPr>
            <w:r>
              <w:rPr>
                <w:rFonts w:hint="eastAsia"/>
                <w:color w:val="auto"/>
                <w:lang w:val="en-US" w:eastAsia="zh-CN"/>
              </w:rPr>
              <w:t>0</w:t>
            </w:r>
          </w:p>
        </w:tc>
        <w:tc>
          <w:tcPr>
            <w:tcW w:w="19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eastAsia="宋体"/>
                <w:color w:val="auto"/>
                <w:lang w:val="en-US" w:eastAsia="zh-CN"/>
              </w:rPr>
            </w:pPr>
            <w:r>
              <w:rPr>
                <w:rFonts w:hint="eastAsia"/>
                <w:color w:val="auto"/>
                <w:lang w:val="en-US" w:eastAsia="zh-CN"/>
              </w:rPr>
              <w:t>0</w:t>
            </w:r>
          </w:p>
        </w:tc>
        <w:tc>
          <w:tcPr>
            <w:tcW w:w="220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eastAsia="宋体"/>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807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行政许可</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宋体"/>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807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信息内容</w:t>
            </w:r>
          </w:p>
        </w:tc>
        <w:tc>
          <w:tcPr>
            <w:tcW w:w="6112"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行政处罚</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宋体"/>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行政强制</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宋体"/>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807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6112"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行政事业性收费</w:t>
            </w:r>
          </w:p>
        </w:tc>
        <w:tc>
          <w:tcPr>
            <w:tcW w:w="6112" w:type="dxa"/>
            <w:gridSpan w:val="3"/>
            <w:tcBorders>
              <w:top w:val="nil"/>
              <w:left w:val="nil"/>
              <w:bottom w:val="single" w:color="auto" w:sz="8" w:space="0"/>
              <w:right w:val="single" w:color="000000" w:sz="8" w:space="0"/>
            </w:tcBorders>
            <w:tcMar>
              <w:left w:w="57" w:type="dxa"/>
              <w:right w:w="57" w:type="dxa"/>
            </w:tcMar>
            <w:vAlign w:val="center"/>
          </w:tcPr>
          <w:p>
            <w:pPr>
              <w:shd w:val="clear" w:color="auto" w:fill="auto"/>
              <w:jc w:val="center"/>
              <w:rPr>
                <w:rFonts w:hint="eastAsia" w:ascii="宋体" w:eastAsia="宋体"/>
                <w:color w:val="auto"/>
                <w:sz w:val="24"/>
                <w:szCs w:val="24"/>
                <w:lang w:val="en-US" w:eastAsia="zh-CN"/>
              </w:rPr>
            </w:pPr>
            <w:r>
              <w:rPr>
                <w:rFonts w:hint="eastAsia" w:ascii="宋体"/>
                <w:color w:val="auto"/>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4"/>
        <w:gridCol w:w="938"/>
        <w:gridCol w:w="3214"/>
        <w:gridCol w:w="696"/>
        <w:gridCol w:w="688"/>
        <w:gridCol w:w="688"/>
        <w:gridCol w:w="688"/>
        <w:gridCol w:w="688"/>
        <w:gridCol w:w="688"/>
        <w:gridCol w:w="6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16"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楷体" w:hAnsi="楷体" w:eastAsia="楷体" w:cs="楷体"/>
                <w:color w:val="auto"/>
                <w:kern w:val="0"/>
                <w:sz w:val="18"/>
                <w:szCs w:val="18"/>
                <w:lang w:val="en-US" w:eastAsia="zh-CN" w:bidi="ar"/>
              </w:rPr>
              <w:t>（本列数据的勾稽关系为：第一项加第二项之和，等于第三项加第四项之和）</w:t>
            </w:r>
          </w:p>
        </w:tc>
        <w:tc>
          <w:tcPr>
            <w:tcW w:w="4832"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16"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shd w:val="clear" w:color="auto" w:fill="auto"/>
              <w:rPr>
                <w:rFonts w:hint="eastAsia" w:ascii="宋体"/>
                <w:color w:val="auto"/>
                <w:sz w:val="18"/>
                <w:szCs w:val="18"/>
              </w:rPr>
            </w:pPr>
          </w:p>
        </w:tc>
        <w:tc>
          <w:tcPr>
            <w:tcW w:w="696"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8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8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法人或其他组织</w:t>
            </w:r>
          </w:p>
        </w:tc>
        <w:tc>
          <w:tcPr>
            <w:tcW w:w="696"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16"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shd w:val="clear" w:color="auto" w:fill="auto"/>
              <w:rPr>
                <w:rFonts w:hint="eastAsia" w:ascii="宋体"/>
                <w:color w:val="auto"/>
                <w:sz w:val="18"/>
                <w:szCs w:val="18"/>
              </w:rPr>
            </w:pPr>
          </w:p>
        </w:tc>
        <w:tc>
          <w:tcPr>
            <w:tcW w:w="696" w:type="dxa"/>
            <w:vMerge w:val="continue"/>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textAlignment w:val="auto"/>
              <w:rPr>
                <w:rFonts w:hint="eastAsia" w:ascii="宋体"/>
                <w:color w:val="auto"/>
                <w:sz w:val="24"/>
                <w:szCs w:val="24"/>
              </w:rPr>
            </w:pP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8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8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企业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8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8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8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8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8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其他</w:t>
            </w:r>
          </w:p>
        </w:tc>
        <w:tc>
          <w:tcPr>
            <w:tcW w:w="696"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shd w:val="clear" w:color="auto" w:fill="auto"/>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16"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一、本年新收政府信息公开申请数量</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cs="Calibri"/>
                <w:color w:val="auto"/>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cs="Calibri"/>
                <w:color w:val="auto"/>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16"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二、上年结转政府信息公开申请数量</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三、本年度办理结果</w:t>
            </w:r>
          </w:p>
        </w:tc>
        <w:tc>
          <w:tcPr>
            <w:tcW w:w="4152" w:type="dxa"/>
            <w:gridSpan w:val="2"/>
            <w:tcBorders>
              <w:top w:val="nil"/>
              <w:left w:val="single" w:color="auto" w:sz="4"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（一）予以公开</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宋体"/>
                <w:color w:val="auto"/>
                <w:lang w:val="en-US" w:eastAsia="zh-CN"/>
              </w:rPr>
            </w:pPr>
            <w:r>
              <w:rPr>
                <w:rFonts w:hint="eastAsia"/>
                <w:color w:va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96"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9" w:hRule="atLeast"/>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4152" w:type="dxa"/>
            <w:gridSpan w:val="2"/>
            <w:tcBorders>
              <w:top w:val="nil"/>
              <w:left w:val="single" w:color="auto" w:sz="4"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（二）部分公开</w:t>
            </w:r>
            <w:r>
              <w:rPr>
                <w:rFonts w:hint="eastAsia" w:ascii="楷体" w:hAnsi="楷体" w:eastAsia="楷体" w:cs="楷体"/>
                <w:color w:val="auto"/>
                <w:kern w:val="0"/>
                <w:sz w:val="18"/>
                <w:szCs w:val="18"/>
                <w:lang w:val="en-US" w:eastAsia="zh-CN" w:bidi="ar"/>
              </w:rPr>
              <w:t>（区分处理的，只计这一情形，不计其他情形）</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restart"/>
            <w:tcBorders>
              <w:top w:val="nil"/>
              <w:left w:val="single" w:color="auto" w:sz="4" w:space="0"/>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（三）不予公开</w:t>
            </w:r>
          </w:p>
        </w:tc>
        <w:tc>
          <w:tcPr>
            <w:tcW w:w="3214"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1.属于国家秘密</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96"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continue"/>
            <w:tcBorders>
              <w:top w:val="nil"/>
              <w:left w:val="single" w:color="auto" w:sz="4" w:space="0"/>
              <w:bottom w:val="outset" w:color="auto" w:sz="8" w:space="0"/>
              <w:right w:val="single" w:color="auto" w:sz="8" w:space="0"/>
            </w:tcBorders>
            <w:tcMar>
              <w:left w:w="57" w:type="dxa"/>
              <w:right w:w="57" w:type="dxa"/>
            </w:tcMar>
            <w:vAlign w:val="center"/>
          </w:tcPr>
          <w:p>
            <w:pPr>
              <w:shd w:val="clear" w:color="auto" w:fill="auto"/>
              <w:rPr>
                <w:rFonts w:hint="eastAsia" w:ascii="宋体"/>
                <w:color w:val="auto"/>
                <w:sz w:val="18"/>
                <w:szCs w:val="18"/>
              </w:rPr>
            </w:pPr>
          </w:p>
        </w:tc>
        <w:tc>
          <w:tcPr>
            <w:tcW w:w="3214"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2.其他法律行政法规禁止公开</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continue"/>
            <w:tcBorders>
              <w:top w:val="nil"/>
              <w:left w:val="single" w:color="auto" w:sz="4" w:space="0"/>
              <w:bottom w:val="outset" w:color="auto" w:sz="8" w:space="0"/>
              <w:right w:val="single" w:color="auto" w:sz="8" w:space="0"/>
            </w:tcBorders>
            <w:tcMar>
              <w:left w:w="57" w:type="dxa"/>
              <w:right w:w="57" w:type="dxa"/>
            </w:tcMar>
            <w:vAlign w:val="center"/>
          </w:tcPr>
          <w:p>
            <w:pPr>
              <w:shd w:val="clear" w:color="auto" w:fill="auto"/>
              <w:rPr>
                <w:rFonts w:hint="eastAsia" w:ascii="宋体"/>
                <w:color w:val="auto"/>
                <w:sz w:val="18"/>
                <w:szCs w:val="18"/>
              </w:rPr>
            </w:pPr>
          </w:p>
        </w:tc>
        <w:tc>
          <w:tcPr>
            <w:tcW w:w="3214"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3.危及“三安全一稳定”</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continue"/>
            <w:tcBorders>
              <w:top w:val="nil"/>
              <w:left w:val="single" w:color="auto" w:sz="4" w:space="0"/>
              <w:bottom w:val="single" w:color="auto" w:sz="4" w:space="0"/>
              <w:right w:val="single" w:color="auto" w:sz="8" w:space="0"/>
            </w:tcBorders>
            <w:tcMar>
              <w:left w:w="57" w:type="dxa"/>
              <w:right w:w="57" w:type="dxa"/>
            </w:tcMar>
            <w:vAlign w:val="center"/>
          </w:tcPr>
          <w:p>
            <w:pPr>
              <w:shd w:val="clear" w:color="auto" w:fill="auto"/>
              <w:rPr>
                <w:rFonts w:hint="eastAsia" w:ascii="宋体"/>
                <w:color w:val="auto"/>
                <w:sz w:val="18"/>
                <w:szCs w:val="18"/>
              </w:rPr>
            </w:pPr>
          </w:p>
        </w:tc>
        <w:tc>
          <w:tcPr>
            <w:tcW w:w="3214" w:type="dxa"/>
            <w:tcBorders>
              <w:top w:val="nil"/>
              <w:left w:val="nil"/>
              <w:bottom w:val="single" w:color="auto" w:sz="4"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4.保护第三方合法权益</w:t>
            </w:r>
          </w:p>
        </w:tc>
        <w:tc>
          <w:tcPr>
            <w:tcW w:w="696"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1</w:t>
            </w:r>
          </w:p>
        </w:tc>
        <w:tc>
          <w:tcPr>
            <w:tcW w:w="688"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96"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lang w:val="en-US"/>
              </w:rPr>
            </w:pPr>
            <w:r>
              <w:rPr>
                <w:rFonts w:hint="eastAsia" w:cs="Calibri"/>
                <w:color w:val="auto"/>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3214"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5.属于三类内部事务信息</w:t>
            </w:r>
          </w:p>
        </w:tc>
        <w:tc>
          <w:tcPr>
            <w:tcW w:w="69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9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3214"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6.属于四类过程性信息</w:t>
            </w:r>
          </w:p>
        </w:tc>
        <w:tc>
          <w:tcPr>
            <w:tcW w:w="69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9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7" w:hRule="atLeast"/>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3214"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7.属于行政执法案卷</w:t>
            </w:r>
          </w:p>
        </w:tc>
        <w:tc>
          <w:tcPr>
            <w:tcW w:w="69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9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3214"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8.属于行政查询事项</w:t>
            </w:r>
          </w:p>
        </w:tc>
        <w:tc>
          <w:tcPr>
            <w:tcW w:w="69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9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（四）无法提供</w:t>
            </w:r>
          </w:p>
        </w:tc>
        <w:tc>
          <w:tcPr>
            <w:tcW w:w="3214"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1.本机关不掌握相关政府信息</w:t>
            </w:r>
          </w:p>
        </w:tc>
        <w:tc>
          <w:tcPr>
            <w:tcW w:w="696" w:type="dxa"/>
            <w:tcBorders>
              <w:top w:val="single" w:color="auto" w:sz="4" w:space="0"/>
              <w:left w:val="single" w:color="auto" w:sz="4"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cs="Calibri"/>
                <w:color w:val="auto"/>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96"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3214"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2.没有现成信息需要另行制作</w:t>
            </w:r>
          </w:p>
        </w:tc>
        <w:tc>
          <w:tcPr>
            <w:tcW w:w="696" w:type="dxa"/>
            <w:tcBorders>
              <w:top w:val="nil"/>
              <w:left w:val="single" w:color="auto" w:sz="4" w:space="0"/>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96"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3214"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3.补正后申请内容仍不明确</w:t>
            </w:r>
          </w:p>
        </w:tc>
        <w:tc>
          <w:tcPr>
            <w:tcW w:w="69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9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2" w:hRule="atLeast"/>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（五）不予处理</w:t>
            </w:r>
          </w:p>
        </w:tc>
        <w:tc>
          <w:tcPr>
            <w:tcW w:w="3214"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1.信访举报投诉类申请</w:t>
            </w:r>
          </w:p>
        </w:tc>
        <w:tc>
          <w:tcPr>
            <w:tcW w:w="696" w:type="dxa"/>
            <w:tcBorders>
              <w:top w:val="single" w:color="auto" w:sz="4" w:space="0"/>
              <w:left w:val="single" w:color="auto" w:sz="4"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96"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7" w:hRule="atLeast"/>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continue"/>
            <w:tcBorders>
              <w:top w:val="single" w:color="auto" w:sz="4" w:space="0"/>
              <w:left w:val="single" w:color="auto" w:sz="4" w:space="0"/>
              <w:bottom w:val="single" w:color="auto" w:sz="4" w:space="0"/>
              <w:right w:val="single" w:color="auto" w:sz="8" w:space="0"/>
            </w:tcBorders>
            <w:tcMar>
              <w:left w:w="57" w:type="dxa"/>
              <w:right w:w="57" w:type="dxa"/>
            </w:tcMar>
            <w:vAlign w:val="center"/>
          </w:tcPr>
          <w:p>
            <w:pPr>
              <w:shd w:val="clear" w:color="auto" w:fill="auto"/>
              <w:rPr>
                <w:rFonts w:hint="eastAsia" w:ascii="宋体"/>
                <w:color w:val="auto"/>
                <w:sz w:val="18"/>
                <w:szCs w:val="18"/>
              </w:rPr>
            </w:pPr>
          </w:p>
        </w:tc>
        <w:tc>
          <w:tcPr>
            <w:tcW w:w="3214" w:type="dxa"/>
            <w:tcBorders>
              <w:top w:val="single" w:color="auto" w:sz="4"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2.重复申请</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continue"/>
            <w:tcBorders>
              <w:top w:val="single" w:color="auto" w:sz="4" w:space="0"/>
              <w:left w:val="single" w:color="auto" w:sz="4" w:space="0"/>
              <w:bottom w:val="single" w:color="auto" w:sz="4" w:space="0"/>
              <w:right w:val="single" w:color="auto" w:sz="8" w:space="0"/>
            </w:tcBorders>
            <w:tcMar>
              <w:left w:w="57" w:type="dxa"/>
              <w:right w:w="57" w:type="dxa"/>
            </w:tcMar>
            <w:vAlign w:val="center"/>
          </w:tcPr>
          <w:p>
            <w:pPr>
              <w:shd w:val="clear" w:color="auto" w:fill="auto"/>
              <w:rPr>
                <w:rFonts w:hint="eastAsia" w:ascii="宋体"/>
                <w:color w:val="auto"/>
                <w:sz w:val="18"/>
                <w:szCs w:val="18"/>
              </w:rPr>
            </w:pPr>
          </w:p>
        </w:tc>
        <w:tc>
          <w:tcPr>
            <w:tcW w:w="3214"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3.要求提供公开出版物</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continue"/>
            <w:tcBorders>
              <w:top w:val="single" w:color="auto" w:sz="4" w:space="0"/>
              <w:left w:val="single" w:color="auto" w:sz="4" w:space="0"/>
              <w:bottom w:val="single" w:color="auto" w:sz="4" w:space="0"/>
              <w:right w:val="single" w:color="auto" w:sz="8" w:space="0"/>
            </w:tcBorders>
            <w:tcMar>
              <w:left w:w="57" w:type="dxa"/>
              <w:right w:w="57" w:type="dxa"/>
            </w:tcMar>
            <w:vAlign w:val="center"/>
          </w:tcPr>
          <w:p>
            <w:pPr>
              <w:shd w:val="clear" w:color="auto" w:fill="auto"/>
              <w:rPr>
                <w:rFonts w:hint="eastAsia" w:ascii="宋体"/>
                <w:color w:val="auto"/>
                <w:sz w:val="18"/>
                <w:szCs w:val="18"/>
              </w:rPr>
            </w:pPr>
          </w:p>
        </w:tc>
        <w:tc>
          <w:tcPr>
            <w:tcW w:w="3214"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4.无正当理由大量反复申请</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9" w:hRule="atLeast"/>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continue"/>
            <w:tcBorders>
              <w:top w:val="single" w:color="auto" w:sz="4" w:space="0"/>
              <w:left w:val="single" w:color="auto" w:sz="4" w:space="0"/>
              <w:bottom w:val="single" w:color="auto" w:sz="4" w:space="0"/>
              <w:right w:val="single" w:color="auto" w:sz="8" w:space="0"/>
            </w:tcBorders>
            <w:tcMar>
              <w:left w:w="57" w:type="dxa"/>
              <w:right w:w="57" w:type="dxa"/>
            </w:tcMar>
            <w:vAlign w:val="center"/>
          </w:tcPr>
          <w:p>
            <w:pPr>
              <w:shd w:val="clear" w:color="auto" w:fill="auto"/>
              <w:rPr>
                <w:rFonts w:hint="eastAsia" w:ascii="宋体"/>
                <w:color w:val="auto"/>
                <w:sz w:val="18"/>
                <w:szCs w:val="18"/>
              </w:rPr>
            </w:pPr>
          </w:p>
        </w:tc>
        <w:tc>
          <w:tcPr>
            <w:tcW w:w="32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both"/>
              <w:rPr>
                <w:color w:val="auto"/>
                <w:sz w:val="18"/>
                <w:szCs w:val="18"/>
              </w:rPr>
            </w:pPr>
            <w:r>
              <w:rPr>
                <w:rFonts w:hint="eastAsia" w:ascii="宋体" w:hAnsi="宋体" w:eastAsia="宋体" w:cs="宋体"/>
                <w:color w:val="auto"/>
                <w:kern w:val="0"/>
                <w:sz w:val="18"/>
                <w:szCs w:val="18"/>
                <w:lang w:val="en-US" w:eastAsia="zh-CN" w:bidi="ar"/>
              </w:rPr>
              <w:t>5.要求行政机关确认或重新出具已获取信息</w:t>
            </w:r>
          </w:p>
        </w:tc>
        <w:tc>
          <w:tcPr>
            <w:tcW w:w="696"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96"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4" w:hRule="atLeast"/>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restart"/>
            <w:tcBorders>
              <w:top w:val="single" w:color="auto" w:sz="4" w:space="0"/>
              <w:left w:val="single" w:color="auto" w:sz="4" w:space="0"/>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（六）其他处理</w:t>
            </w:r>
          </w:p>
        </w:tc>
        <w:tc>
          <w:tcPr>
            <w:tcW w:w="3214"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both"/>
              <w:rPr>
                <w:color w:val="auto"/>
                <w:sz w:val="18"/>
                <w:szCs w:val="18"/>
              </w:rPr>
            </w:pPr>
            <w:r>
              <w:rPr>
                <w:rFonts w:hint="eastAsia" w:ascii="宋体" w:hAnsi="宋体" w:eastAsia="宋体" w:cs="宋体"/>
                <w:color w:val="auto"/>
                <w:kern w:val="0"/>
                <w:sz w:val="18"/>
                <w:szCs w:val="18"/>
                <w:lang w:val="en-US" w:eastAsia="zh-CN" w:bidi="ar"/>
              </w:rPr>
              <w:t>1.申请人无正当理由逾期不补正、行政机关不再处理其政府信息公开申请</w:t>
            </w:r>
          </w:p>
        </w:tc>
        <w:tc>
          <w:tcPr>
            <w:tcW w:w="696"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96" w:type="dxa"/>
            <w:tcBorders>
              <w:top w:val="nil"/>
              <w:left w:val="nil"/>
              <w:bottom w:val="single" w:color="auto" w:sz="4"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321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both"/>
              <w:rPr>
                <w:color w:val="auto"/>
                <w:sz w:val="18"/>
                <w:szCs w:val="18"/>
              </w:rPr>
            </w:pPr>
            <w:r>
              <w:rPr>
                <w:rFonts w:hint="eastAsia" w:ascii="宋体" w:hAnsi="宋体" w:eastAsia="宋体" w:cs="宋体"/>
                <w:color w:val="auto"/>
                <w:kern w:val="0"/>
                <w:sz w:val="18"/>
                <w:szCs w:val="18"/>
                <w:lang w:val="en-US" w:eastAsia="zh-CN" w:bidi="ar"/>
              </w:rPr>
              <w:t>2.申请人逾期未按收费通知要求缴纳费用、行政机关不再处理其政府信息公开申请</w:t>
            </w:r>
          </w:p>
        </w:tc>
        <w:tc>
          <w:tcPr>
            <w:tcW w:w="69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9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938" w:type="dxa"/>
            <w:vMerge w:val="continue"/>
            <w:tcBorders>
              <w:top w:val="single" w:color="auto" w:sz="4" w:space="0"/>
              <w:left w:val="single" w:color="auto" w:sz="4" w:space="0"/>
              <w:bottom w:val="single" w:color="auto" w:sz="4" w:space="0"/>
              <w:right w:val="single" w:color="auto" w:sz="8" w:space="0"/>
            </w:tcBorders>
            <w:tcMar>
              <w:left w:w="57" w:type="dxa"/>
              <w:right w:w="57" w:type="dxa"/>
            </w:tcMar>
            <w:vAlign w:val="center"/>
          </w:tcPr>
          <w:p>
            <w:pPr>
              <w:shd w:val="clear" w:color="auto" w:fill="auto"/>
              <w:rPr>
                <w:rFonts w:hint="eastAsia" w:ascii="宋体"/>
                <w:color w:val="auto"/>
                <w:sz w:val="18"/>
                <w:szCs w:val="18"/>
              </w:rPr>
            </w:pPr>
          </w:p>
        </w:tc>
        <w:tc>
          <w:tcPr>
            <w:tcW w:w="3214"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3.其他</w:t>
            </w:r>
          </w:p>
        </w:tc>
        <w:tc>
          <w:tcPr>
            <w:tcW w:w="696"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cs="Calibri"/>
                <w:color w:val="auto"/>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96"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7" w:hRule="atLeast"/>
          <w:jc w:val="center"/>
        </w:trPr>
        <w:tc>
          <w:tcPr>
            <w:tcW w:w="76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hd w:val="clear" w:color="auto" w:fill="auto"/>
              <w:rPr>
                <w:rFonts w:hint="eastAsia" w:ascii="宋体"/>
                <w:color w:val="auto"/>
                <w:sz w:val="18"/>
                <w:szCs w:val="18"/>
              </w:rPr>
            </w:pPr>
          </w:p>
        </w:tc>
        <w:tc>
          <w:tcPr>
            <w:tcW w:w="4152" w:type="dxa"/>
            <w:gridSpan w:val="2"/>
            <w:tcBorders>
              <w:top w:val="nil"/>
              <w:left w:val="single" w:color="auto" w:sz="4"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（七）总计</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cs="Calibri"/>
                <w:color w:val="auto"/>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cs="Calibri"/>
                <w:color w:val="auto"/>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9" w:hRule="atLeast"/>
          <w:jc w:val="center"/>
        </w:trPr>
        <w:tc>
          <w:tcPr>
            <w:tcW w:w="4916"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sz w:val="18"/>
                <w:szCs w:val="18"/>
              </w:rPr>
            </w:pPr>
            <w:r>
              <w:rPr>
                <w:rFonts w:hint="eastAsia" w:ascii="宋体" w:hAnsi="宋体" w:eastAsia="宋体" w:cs="宋体"/>
                <w:color w:val="auto"/>
                <w:kern w:val="0"/>
                <w:sz w:val="18"/>
                <w:szCs w:val="18"/>
                <w:lang w:val="en-US" w:eastAsia="zh-CN" w:bidi="ar"/>
              </w:rPr>
              <w:t>四、结转下年度继续办理</w:t>
            </w:r>
          </w:p>
        </w:tc>
        <w:tc>
          <w:tcPr>
            <w:tcW w:w="69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eastAsia="宋体"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eastAsia="宋体" w:cs="Calibri"/>
                <w:color w:val="auto"/>
                <w:kern w:val="0"/>
                <w:sz w:val="20"/>
                <w:szCs w:val="20"/>
                <w:lang w:val="en-US" w:eastAsia="zh-CN" w:bidi="ar"/>
              </w:rPr>
              <w:t>0</w:t>
            </w:r>
          </w:p>
        </w:tc>
        <w:tc>
          <w:tcPr>
            <w:tcW w:w="696" w:type="dxa"/>
            <w:tcBorders>
              <w:top w:val="nil"/>
              <w:left w:val="nil"/>
              <w:bottom w:val="single" w:color="auto" w:sz="8" w:space="0"/>
              <w:right w:val="single" w:color="auto" w:sz="8" w:space="0"/>
            </w:tcBorders>
            <w:tcMar>
              <w:left w:w="57" w:type="dxa"/>
              <w:right w:w="57" w:type="dxa"/>
            </w:tcMar>
            <w:vAlign w:val="center"/>
          </w:tcPr>
          <w:p>
            <w:pPr>
              <w:shd w:val="clear" w:color="auto" w:fill="auto"/>
              <w:jc w:val="center"/>
              <w:rPr>
                <w:rFonts w:hint="eastAsia" w:ascii="宋体" w:eastAsia="宋体"/>
                <w:color w:val="auto"/>
                <w:sz w:val="24"/>
                <w:szCs w:val="24"/>
                <w:lang w:val="en-US" w:eastAsia="zh-CN"/>
              </w:rPr>
            </w:pPr>
            <w:r>
              <w:rPr>
                <w:rFonts w:hint="eastAsia" w:cs="Calibri"/>
                <w:color w:val="auto"/>
                <w:kern w:val="0"/>
                <w:sz w:val="20"/>
                <w:szCs w:val="20"/>
                <w:lang w:val="en-US" w:eastAsia="zh-CN" w:bidi="ar"/>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四、政府信息公开行政复议、行政诉讼情况</w:t>
      </w: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hd w:val="clear" w:color="auto" w:fill="auto"/>
              <w:rPr>
                <w:rFonts w:hint="eastAsia" w:ascii="宋体"/>
                <w:color w:val="auto"/>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hd w:val="clear" w:color="auto" w:fil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hd w:val="clear" w:color="auto" w:fil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hd w:val="clear" w:color="auto" w:fil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hd w:val="clear" w:color="auto" w:fill="auto"/>
              <w:rPr>
                <w:rFonts w:hint="eastAsia" w:ascii="宋体"/>
                <w:color w:val="auto"/>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hd w:val="clear" w:color="auto" w:fill="auto"/>
              <w:jc w:val="center"/>
              <w:rPr>
                <w:rFonts w:hint="eastAsia" w:ascii="宋体" w:eastAsia="宋体"/>
                <w:color w:val="auto"/>
                <w:sz w:val="24"/>
                <w:szCs w:val="24"/>
                <w:lang w:val="en-US" w:eastAsia="zh-CN"/>
              </w:rPr>
            </w:pPr>
            <w:r>
              <w:rPr>
                <w:rFonts w:hint="eastAsia" w:ascii="宋体"/>
                <w:color w:val="auto"/>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Lines="50" w:afterLines="50" w:line="640" w:lineRule="exact"/>
        <w:ind w:firstLine="640"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eastAsia="仿宋_GB2312"/>
          <w:sz w:val="32"/>
          <w:szCs w:val="32"/>
        </w:rPr>
      </w:pPr>
      <w:r>
        <w:rPr>
          <w:rFonts w:hint="eastAsia" w:eastAsia="仿宋_GB2312"/>
          <w:sz w:val="32"/>
          <w:szCs w:val="32"/>
        </w:rPr>
        <w:t>2</w:t>
      </w:r>
      <w:r>
        <w:rPr>
          <w:rFonts w:eastAsia="仿宋_GB2312"/>
          <w:sz w:val="32"/>
          <w:szCs w:val="32"/>
        </w:rPr>
        <w:t>02</w:t>
      </w:r>
      <w:r>
        <w:rPr>
          <w:rFonts w:hint="eastAsia" w:eastAsia="仿宋_GB2312"/>
          <w:sz w:val="32"/>
          <w:szCs w:val="32"/>
        </w:rPr>
        <w:t>1年，自治区监狱管理局对标自治区人民政府政务公开办公室的部署和要求，信息公开工作虽然取得了一定成效，仍存在一定的差距和不足：一是宁夏监狱管理局门户网站版面设计、栏目设置、网站功能还需要进一步调整和优化。二是政务新媒体运营质量还有待进一步提高。三是政策解读形式不够多样。配套解读材料仍以文字解读为主，媒体、专家解读等其他形式运用相对较少。四是公众参与程度不高。面向社会</w:t>
      </w:r>
      <w:r>
        <w:rPr>
          <w:rFonts w:hint="eastAsia" w:eastAsia="仿宋_GB2312"/>
          <w:sz w:val="32"/>
          <w:szCs w:val="32"/>
          <w:lang w:eastAsia="zh-CN"/>
        </w:rPr>
        <w:t>公开</w:t>
      </w:r>
      <w:r>
        <w:rPr>
          <w:rFonts w:hint="eastAsia" w:eastAsia="仿宋_GB2312"/>
          <w:sz w:val="32"/>
          <w:szCs w:val="32"/>
        </w:rPr>
        <w:t>监狱业务、普法宣传宣讲不够。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eastAsia="仿宋_GB2312"/>
          <w:sz w:val="32"/>
          <w:szCs w:val="32"/>
        </w:rPr>
      </w:pPr>
      <w:r>
        <w:rPr>
          <w:rFonts w:hint="eastAsia" w:eastAsia="仿宋_GB2312"/>
          <w:sz w:val="32"/>
          <w:szCs w:val="32"/>
        </w:rPr>
        <w:t>下一步，自治区监狱管理局将</w:t>
      </w:r>
      <w:r>
        <w:rPr>
          <w:rFonts w:hint="eastAsia" w:eastAsia="仿宋_GB2312"/>
          <w:sz w:val="32"/>
          <w:szCs w:val="32"/>
          <w:lang w:eastAsia="zh-CN"/>
        </w:rPr>
        <w:t>继续</w:t>
      </w:r>
      <w:r>
        <w:rPr>
          <w:rFonts w:hint="eastAsia" w:eastAsia="仿宋_GB2312"/>
          <w:sz w:val="32"/>
          <w:szCs w:val="32"/>
        </w:rPr>
        <w:t>深入贯彻落实自治区党委和政府关于全面推进政务公开的决策部署，进一步强化落实狱务公开“双清单”，持续推进决策、执行、管理、服务、结果等全过程公开。</w:t>
      </w:r>
      <w:r>
        <w:rPr>
          <w:rFonts w:hint="eastAsia" w:eastAsia="仿宋_GB2312"/>
          <w:b/>
          <w:sz w:val="32"/>
          <w:szCs w:val="32"/>
        </w:rPr>
        <w:t>一是</w:t>
      </w:r>
      <w:r>
        <w:rPr>
          <w:rFonts w:hint="eastAsia" w:eastAsia="仿宋_GB2312"/>
          <w:sz w:val="32"/>
          <w:szCs w:val="32"/>
        </w:rPr>
        <w:t>针对以上问题继续改善和推进相关工作。</w:t>
      </w:r>
      <w:r>
        <w:rPr>
          <w:rFonts w:eastAsia="仿宋_GB2312"/>
          <w:sz w:val="32"/>
          <w:szCs w:val="32"/>
        </w:rPr>
        <w:t> </w:t>
      </w:r>
      <w:r>
        <w:rPr>
          <w:rFonts w:hint="eastAsia" w:eastAsia="仿宋_GB2312"/>
          <w:b/>
          <w:sz w:val="32"/>
          <w:szCs w:val="32"/>
        </w:rPr>
        <w:t>二是</w:t>
      </w:r>
      <w:r>
        <w:rPr>
          <w:rFonts w:hint="eastAsia" w:eastAsia="仿宋_GB2312"/>
          <w:sz w:val="32"/>
          <w:szCs w:val="32"/>
        </w:rPr>
        <w:t>对宁夏监狱管理局门户网站进行完善，提升网站的运行效率</w:t>
      </w:r>
      <w:r>
        <w:rPr>
          <w:rFonts w:hint="eastAsia" w:eastAsia="仿宋_GB2312"/>
          <w:sz w:val="32"/>
          <w:szCs w:val="32"/>
          <w:lang w:eastAsia="zh-CN"/>
        </w:rPr>
        <w:t>，</w:t>
      </w:r>
      <w:r>
        <w:rPr>
          <w:rFonts w:hint="eastAsia" w:eastAsia="仿宋_GB2312"/>
          <w:sz w:val="32"/>
          <w:szCs w:val="32"/>
        </w:rPr>
        <w:t>优化网站栏目框架</w:t>
      </w:r>
      <w:r>
        <w:rPr>
          <w:rFonts w:hint="eastAsia" w:eastAsia="仿宋_GB2312"/>
          <w:sz w:val="32"/>
          <w:szCs w:val="32"/>
          <w:lang w:eastAsia="zh-CN"/>
        </w:rPr>
        <w:t>，完善</w:t>
      </w:r>
      <w:r>
        <w:rPr>
          <w:rFonts w:hint="eastAsia" w:eastAsia="仿宋_GB2312"/>
          <w:sz w:val="32"/>
          <w:szCs w:val="32"/>
        </w:rPr>
        <w:t>通过网站获取公开信息的便捷度。</w:t>
      </w:r>
      <w:r>
        <w:rPr>
          <w:rFonts w:hint="eastAsia" w:eastAsia="仿宋_GB2312"/>
          <w:b/>
          <w:sz w:val="32"/>
          <w:szCs w:val="32"/>
        </w:rPr>
        <w:t>三是</w:t>
      </w:r>
      <w:r>
        <w:rPr>
          <w:rFonts w:hint="eastAsia" w:eastAsia="仿宋_GB2312"/>
          <w:sz w:val="32"/>
          <w:szCs w:val="32"/>
        </w:rPr>
        <w:t>完善舆情回应、政策解读工作制度，不断创新狱务公开方式方法，拓宽狱务公开渠道,使罪犯近亲属和社会公众能够更加方便、快捷地获得公开信息。</w:t>
      </w:r>
      <w:r>
        <w:rPr>
          <w:rFonts w:hint="eastAsia" w:eastAsia="仿宋_GB2312"/>
          <w:b/>
          <w:sz w:val="32"/>
          <w:szCs w:val="32"/>
        </w:rPr>
        <w:t>四是</w:t>
      </w:r>
      <w:r>
        <w:rPr>
          <w:rFonts w:hint="eastAsia" w:eastAsia="仿宋_GB2312"/>
          <w:sz w:val="32"/>
          <w:szCs w:val="32"/>
        </w:rPr>
        <w:t>常态化邀请执法监督员到监狱开展执法监督活动，进一步提升监狱执法工作透明度。</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4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六、</w:t>
      </w:r>
      <w:r>
        <w:rPr>
          <w:rFonts w:hint="eastAsia" w:ascii="黑体" w:hAnsi="黑体" w:eastAsia="黑体" w:cs="黑体"/>
          <w:sz w:val="32"/>
          <w:szCs w:val="32"/>
        </w:rPr>
        <w:t>其他需要报告的事项</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（一）自治区监狱管理局2021年政务公开工作要点。</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加大公开力度，深化规划信息、财政领域信息、疫情防控、政法队伍教育整顿和乡村振兴等重点领域信息公开。尤其是增设队伍教育整顿举报信箱，举办“政府开放月”活动，夯实政务公开基础。</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优化便民举措，提升公开质效。加大政策解读的数量，加强对公众关切问题的互动回应。</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抓好平台建设，加强宁夏监狱管理门户网站建设管理，持续用好宁夏监狱管理“两微一端”等政务新媒体，拓宽公开渠道。</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sz w:val="32"/>
          <w:szCs w:val="32"/>
          <w:lang w:val="en-US" w:eastAsia="zh-CN"/>
        </w:rPr>
        <w:t>（二）收取信息处理费的情况。</w:t>
      </w:r>
      <w:r>
        <w:rPr>
          <w:rFonts w:hint="eastAsia" w:ascii="仿宋_GB2312" w:hAnsi="仿宋_GB2312" w:eastAsia="仿宋_GB2312" w:cs="仿宋_GB2312"/>
          <w:sz w:val="32"/>
          <w:szCs w:val="32"/>
          <w:lang w:val="en-US" w:eastAsia="zh-CN"/>
        </w:rPr>
        <w:t>2021年自治区监狱管理局未收取任何信息处理费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righ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right"/>
        <w:textAlignment w:val="auto"/>
        <w:rPr>
          <w:rFonts w:eastAsia="仿宋_GB2312"/>
          <w:sz w:val="32"/>
          <w:szCs w:val="32"/>
        </w:rPr>
      </w:pPr>
      <w:r>
        <w:rPr>
          <w:rFonts w:hint="eastAsia" w:eastAsia="仿宋_GB2312"/>
          <w:sz w:val="32"/>
          <w:szCs w:val="32"/>
        </w:rPr>
        <w:t>自治区监狱管理局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right"/>
        <w:textAlignment w:val="auto"/>
        <w:rPr>
          <w:rFonts w:eastAsia="仿宋_GB2312"/>
          <w:sz w:val="32"/>
          <w:szCs w:val="32"/>
        </w:rPr>
      </w:pPr>
      <w:r>
        <w:rPr>
          <w:rFonts w:hint="eastAsia" w:eastAsia="仿宋_GB2312"/>
          <w:sz w:val="32"/>
          <w:szCs w:val="32"/>
        </w:rPr>
        <w:t>2022年1月</w:t>
      </w:r>
      <w:r>
        <w:rPr>
          <w:rFonts w:hint="eastAsia" w:eastAsia="仿宋_GB2312"/>
          <w:sz w:val="32"/>
          <w:szCs w:val="32"/>
          <w:lang w:val="en-US" w:eastAsia="zh-CN"/>
        </w:rPr>
        <w:t>17</w:t>
      </w:r>
      <w:r>
        <w:rPr>
          <w:rFonts w:hint="eastAsia" w:eastAsia="仿宋_GB2312"/>
          <w:sz w:val="32"/>
          <w:szCs w:val="32"/>
        </w:rPr>
        <w:t>日</w:t>
      </w:r>
    </w:p>
    <w:sectPr>
      <w:pgSz w:w="11906" w:h="16838"/>
      <w:pgMar w:top="1985"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762B"/>
    <w:rsid w:val="000F434D"/>
    <w:rsid w:val="00112AFA"/>
    <w:rsid w:val="00117AC7"/>
    <w:rsid w:val="003D0773"/>
    <w:rsid w:val="00412CFB"/>
    <w:rsid w:val="004254F5"/>
    <w:rsid w:val="0050103C"/>
    <w:rsid w:val="00505DFA"/>
    <w:rsid w:val="00537B5D"/>
    <w:rsid w:val="0073673D"/>
    <w:rsid w:val="00752495"/>
    <w:rsid w:val="00783373"/>
    <w:rsid w:val="007F762B"/>
    <w:rsid w:val="00A150D5"/>
    <w:rsid w:val="00A55A61"/>
    <w:rsid w:val="00BF15DB"/>
    <w:rsid w:val="00C079F0"/>
    <w:rsid w:val="00CC2F51"/>
    <w:rsid w:val="00D53EC1"/>
    <w:rsid w:val="00D92E03"/>
    <w:rsid w:val="00EE533D"/>
    <w:rsid w:val="00FA21E2"/>
    <w:rsid w:val="01DB7CE6"/>
    <w:rsid w:val="06A66C8F"/>
    <w:rsid w:val="06A80422"/>
    <w:rsid w:val="07F672F1"/>
    <w:rsid w:val="14072C4A"/>
    <w:rsid w:val="16342F71"/>
    <w:rsid w:val="174866B1"/>
    <w:rsid w:val="179E3037"/>
    <w:rsid w:val="1A560149"/>
    <w:rsid w:val="1EC4181B"/>
    <w:rsid w:val="208F3347"/>
    <w:rsid w:val="2369413A"/>
    <w:rsid w:val="245C1531"/>
    <w:rsid w:val="24C163D9"/>
    <w:rsid w:val="281E2C98"/>
    <w:rsid w:val="283552D6"/>
    <w:rsid w:val="296472AC"/>
    <w:rsid w:val="2E1A5609"/>
    <w:rsid w:val="306E3BD2"/>
    <w:rsid w:val="30DE20A7"/>
    <w:rsid w:val="387372D6"/>
    <w:rsid w:val="39560F30"/>
    <w:rsid w:val="3A350081"/>
    <w:rsid w:val="3B6842E8"/>
    <w:rsid w:val="3BA16319"/>
    <w:rsid w:val="4030081D"/>
    <w:rsid w:val="42542688"/>
    <w:rsid w:val="47A7521B"/>
    <w:rsid w:val="4BBB518D"/>
    <w:rsid w:val="4D4168BA"/>
    <w:rsid w:val="4F382C17"/>
    <w:rsid w:val="4F4D54A6"/>
    <w:rsid w:val="52D35AE2"/>
    <w:rsid w:val="5FF53A1C"/>
    <w:rsid w:val="641F6609"/>
    <w:rsid w:val="686E3D41"/>
    <w:rsid w:val="6B47312F"/>
    <w:rsid w:val="6FCA0651"/>
    <w:rsid w:val="705B2EF9"/>
    <w:rsid w:val="765640B6"/>
    <w:rsid w:val="77C24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2483</Words>
  <Characters>492</Characters>
  <Lines>4</Lines>
  <Paragraphs>5</Paragraphs>
  <TotalTime>5</TotalTime>
  <ScaleCrop>false</ScaleCrop>
  <LinksUpToDate>false</LinksUpToDate>
  <CharactersWithSpaces>2970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2022-01-20T02:22:00Z</dcterms:created>
  <dc:creator>Administrator.PC-20210207UMOW</dc:creator>
  <cp:lastModifiedBy>Administrator</cp:lastModifiedBy>
  <dcterms:modified xsi:type="dcterms:W3CDTF">2022-01-26T02:41:39Z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