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丁永明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吴忠市红寺堡区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/>
          <w:sz w:val="28"/>
          <w:szCs w:val="28"/>
          <w:lang w:eastAsia="zh-CN"/>
        </w:rPr>
        <w:t>贩卖毒品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有期徒刑十五年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，减刑后</w:t>
      </w:r>
      <w:r>
        <w:rPr>
          <w:rFonts w:hint="eastAsia" w:ascii="仿宋_GB2312" w:eastAsia="仿宋_GB2312"/>
          <w:sz w:val="28"/>
          <w:szCs w:val="28"/>
          <w:lang w:eastAsia="zh-CN"/>
        </w:rPr>
        <w:t>刑期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自2016年5月18日起至2030年4月8日止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吴忠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严重疾病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吴忠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、第七条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《关于进一步规范暂予监外执行工作的意见》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>之规定，本局认为罪犯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丁永明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批准其于202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起暂予监外执行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2C6D"/>
    <w:rsid w:val="07432D50"/>
    <w:rsid w:val="0BCC28A7"/>
    <w:rsid w:val="0C785C2B"/>
    <w:rsid w:val="0EA7232E"/>
    <w:rsid w:val="116F702B"/>
    <w:rsid w:val="151E269B"/>
    <w:rsid w:val="15AB5983"/>
    <w:rsid w:val="16EC487F"/>
    <w:rsid w:val="182A3858"/>
    <w:rsid w:val="189B7A3A"/>
    <w:rsid w:val="18B663AD"/>
    <w:rsid w:val="18C33650"/>
    <w:rsid w:val="1B2268BD"/>
    <w:rsid w:val="1BAF52B7"/>
    <w:rsid w:val="20B50269"/>
    <w:rsid w:val="2115023F"/>
    <w:rsid w:val="257234AA"/>
    <w:rsid w:val="25996399"/>
    <w:rsid w:val="2A931910"/>
    <w:rsid w:val="2E066F9D"/>
    <w:rsid w:val="2E755E9B"/>
    <w:rsid w:val="2EE228CF"/>
    <w:rsid w:val="37642BD6"/>
    <w:rsid w:val="39645608"/>
    <w:rsid w:val="39CB3D9E"/>
    <w:rsid w:val="3A0F4A29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1AB29B1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11E77B0"/>
    <w:rsid w:val="52DF3BF9"/>
    <w:rsid w:val="586A7833"/>
    <w:rsid w:val="598B1D71"/>
    <w:rsid w:val="5B3E37E0"/>
    <w:rsid w:val="5C9552A9"/>
    <w:rsid w:val="5D107091"/>
    <w:rsid w:val="5DDB68A5"/>
    <w:rsid w:val="5E675AD2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2025-09-16T00:17:00Z</cp:lastPrinted>
  <dcterms:modified xsi:type="dcterms:W3CDTF">2026-02-28T09:33:01Z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